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年普通高校专升本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专业类别设置及考试科目</w:t>
      </w:r>
    </w:p>
    <w:bookmarkEnd w:id="0"/>
    <w:p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363"/>
        <w:gridCol w:w="4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  <w:r>
              <w:rPr>
                <w:rFonts w:ascii="黑体" w:hAnsi="黑体" w:eastAsia="黑体"/>
                <w:sz w:val="24"/>
              </w:rPr>
              <w:t>门类</w:t>
            </w: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招生专业所属学科门类（考试门类）</w:t>
            </w:r>
          </w:p>
        </w:tc>
        <w:tc>
          <w:tcPr>
            <w:tcW w:w="246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spacing w:line="440" w:lineRule="exact"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说明：考试门类依据教育部《普通高等学校本科专业目录（2020年版）》划分；高职本科招生专业对应考试科目参照本表执行。</w:t>
      </w:r>
    </w:p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674A"/>
    <w:rsid w:val="53CB674A"/>
    <w:rsid w:val="6D0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250</Characters>
  <Lines>0</Lines>
  <Paragraphs>0</Paragraphs>
  <TotalTime>0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2023-01-03T03:13:00Z</dcterms:created>
  <dc:creator>z</dc:creator>
  <cp:lastModifiedBy>没事儿</cp:lastModifiedBy>
  <dcterms:modified xsi:type="dcterms:W3CDTF">2023-01-08T09:16:51Z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85EFC3019468405A9C340DDD5C6CF02A</vt:lpwstr>
  </property>
</Properties>
</file>